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E07" w:rsidRDefault="006A7E6F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>Příloha č. 1: Seznam zadavatelů</w:t>
      </w:r>
      <w:r w:rsidR="001D4DCC">
        <w:rPr>
          <w:rFonts w:ascii="Times New Roman" w:hAnsi="Times New Roman" w:cs="Times New Roman"/>
          <w:b/>
          <w:sz w:val="32"/>
          <w:szCs w:val="32"/>
        </w:rPr>
        <w:br/>
        <w:t>Část 7: Střední Morava CZ07</w:t>
      </w:r>
    </w:p>
    <w:p w:rsidR="00E35C70" w:rsidRPr="00F932F4" w:rsidRDefault="00E35C70" w:rsidP="00E35C70">
      <w:pPr>
        <w:pStyle w:val="Nadpis1"/>
      </w:pPr>
      <w:bookmarkStart w:id="0" w:name="_Toc419116072"/>
      <w:bookmarkStart w:id="1" w:name="_Toc420320279"/>
      <w:bookmarkStart w:id="2" w:name="_GoBack"/>
      <w:bookmarkEnd w:id="2"/>
      <w:r w:rsidRPr="00F932F4">
        <w:t>Střední Morava CZ07</w:t>
      </w:r>
      <w:bookmarkEnd w:id="0"/>
      <w:bookmarkEnd w:id="1"/>
    </w:p>
    <w:tbl>
      <w:tblPr>
        <w:tblW w:w="9082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1"/>
        <w:gridCol w:w="5811"/>
      </w:tblGrid>
      <w:tr w:rsidR="00E35C70" w:rsidRPr="00C469C6" w:rsidTr="00524D35">
        <w:trPr>
          <w:trHeight w:val="255"/>
          <w:tblHeader/>
        </w:trPr>
        <w:tc>
          <w:tcPr>
            <w:tcW w:w="3271" w:type="dxa"/>
            <w:shd w:val="clear" w:color="auto" w:fill="BFBFBF"/>
            <w:noWrap/>
            <w:vAlign w:val="center"/>
          </w:tcPr>
          <w:p w:rsidR="00E35C70" w:rsidRPr="00C469C6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</w:rPr>
            </w:pPr>
            <w:bookmarkStart w:id="3" w:name="_Toc419116073"/>
            <w:r w:rsidRPr="00C469C6">
              <w:rPr>
                <w:rFonts w:ascii="Times New Roman" w:hAnsi="Times New Roman" w:cs="Times New Roman"/>
                <w:b/>
                <w:color w:val="000000"/>
              </w:rPr>
              <w:t>Resort</w:t>
            </w:r>
            <w:bookmarkEnd w:id="3"/>
          </w:p>
        </w:tc>
        <w:tc>
          <w:tcPr>
            <w:tcW w:w="5811" w:type="dxa"/>
            <w:shd w:val="clear" w:color="auto" w:fill="BFBFBF"/>
            <w:noWrap/>
            <w:vAlign w:val="center"/>
          </w:tcPr>
          <w:p w:rsidR="00E35C70" w:rsidRPr="00C469C6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</w:rPr>
            </w:pPr>
            <w:bookmarkStart w:id="4" w:name="_Toc419116074"/>
            <w:r w:rsidRPr="00C469C6">
              <w:rPr>
                <w:rFonts w:ascii="Times New Roman" w:hAnsi="Times New Roman" w:cs="Times New Roman"/>
                <w:b/>
                <w:color w:val="000000"/>
              </w:rPr>
              <w:t>Organizace</w:t>
            </w:r>
            <w:bookmarkEnd w:id="4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" w:name="_Toc419116075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E35C70" w:rsidP="00E35C70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Centrum dopravního výzkumu Brno, v.v.i.</w:t>
            </w:r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" w:name="_Toc419116076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6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E35C70" w:rsidP="00E35C70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České dráhy, a.s.</w:t>
            </w:r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" w:name="_Toc419116077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7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E35C70" w:rsidP="00E35C70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Ředitelství silnic a dálnic ČR</w:t>
            </w:r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8" w:name="_Toc419116078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8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E35C70" w:rsidP="00E35C70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Správa železniční dopravní cesty, s.o.</w:t>
            </w:r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9" w:name="_Toc419116079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9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E35C70" w:rsidP="00E35C70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Státní plavební správa</w:t>
            </w:r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0" w:name="_Toc419116080"/>
            <w:r>
              <w:rPr>
                <w:rFonts w:ascii="Times New Roman" w:hAnsi="Times New Roman" w:cs="Times New Roman"/>
                <w:color w:val="000000"/>
              </w:rPr>
              <w:t>Ministerstvo financí</w:t>
            </w:r>
            <w:bookmarkEnd w:id="10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E35C70" w:rsidP="00E35C70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Generální finanční ředitelství</w:t>
            </w:r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1" w:name="_Toc419116081"/>
            <w:r>
              <w:rPr>
                <w:rFonts w:ascii="Times New Roman" w:hAnsi="Times New Roman" w:cs="Times New Roman"/>
                <w:color w:val="000000"/>
              </w:rPr>
              <w:t>Ministerstvo financí</w:t>
            </w:r>
            <w:bookmarkEnd w:id="11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E35C70" w:rsidP="00E35C70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Generální ředitelství cel</w:t>
            </w:r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2" w:name="_Toc419116082"/>
            <w:r>
              <w:rPr>
                <w:rFonts w:ascii="Times New Roman" w:hAnsi="Times New Roman" w:cs="Times New Roman"/>
                <w:color w:val="000000"/>
              </w:rPr>
              <w:t>Ministerstvo financí</w:t>
            </w:r>
            <w:bookmarkEnd w:id="12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E35C70" w:rsidP="00E35C70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Úřad pro zastupování státu ve věcech majetkových</w:t>
            </w:r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3" w:name="_Toc419116083"/>
            <w:r>
              <w:rPr>
                <w:rFonts w:ascii="Times New Roman" w:hAnsi="Times New Roman" w:cs="Times New Roman"/>
                <w:color w:val="000000"/>
              </w:rPr>
              <w:t>Ministerstvo obrany</w:t>
            </w:r>
            <w:bookmarkEnd w:id="13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E35C70" w:rsidP="00E35C70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Ministerstvo obrany</w:t>
            </w:r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4" w:name="_Toc419116084"/>
            <w:r>
              <w:rPr>
                <w:rFonts w:ascii="Times New Roman" w:hAnsi="Times New Roman" w:cs="Times New Roman"/>
                <w:color w:val="000000"/>
              </w:rPr>
              <w:t>Ministerstvo obrany</w:t>
            </w:r>
            <w:bookmarkEnd w:id="14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E35C70" w:rsidP="00E35C70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Vojenská nemocnice Olomouc</w:t>
            </w:r>
          </w:p>
        </w:tc>
      </w:tr>
      <w:tr w:rsidR="007162EE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7162EE" w:rsidRDefault="007162EE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Ministerstvo obrany</w:t>
            </w:r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7162EE" w:rsidRPr="00C469C6" w:rsidRDefault="007162EE" w:rsidP="00E35C70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Armádní servisní, p.o.</w:t>
            </w:r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5" w:name="_Toc419116085"/>
            <w:r>
              <w:rPr>
                <w:rFonts w:ascii="Times New Roman" w:hAnsi="Times New Roman" w:cs="Times New Roman"/>
                <w:color w:val="000000"/>
              </w:rPr>
              <w:t>Ministerstvo pro místní rozvoj</w:t>
            </w:r>
            <w:bookmarkEnd w:id="1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E35C70" w:rsidP="00E35C70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Státní fond rozvoje bydlení</w:t>
            </w:r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6" w:name="_Toc419116086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16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E35C70" w:rsidP="00E35C70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Justiční akademie</w:t>
            </w:r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7" w:name="_Toc419116087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17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E35C70" w:rsidP="00E35C70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Krajské státní zastupitelství v Brně</w:t>
            </w:r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8" w:name="_Toc419116088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18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E35C70" w:rsidP="00E35C70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Krajské státní zastupitelství v Ostravě</w:t>
            </w:r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9" w:name="_Toc419116089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19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8B560A" w:rsidP="008B560A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Krajský soud v Brně</w:t>
            </w:r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0" w:name="_Toc419116090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0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E35C70" w:rsidP="00E35C70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Okresní soud v Jeseníku</w:t>
            </w:r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1" w:name="_Toc419116092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1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E35C70" w:rsidP="00E35C70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Okresní soud v Kroměříži</w:t>
            </w:r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2" w:name="_Toc419116093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2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E35C70" w:rsidP="00E35C70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Okresní soud v Olomouci</w:t>
            </w:r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3" w:name="_Toc419116094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3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E35C70" w:rsidP="00E35C70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Okresní soud v Prostějově</w:t>
            </w:r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4" w:name="_Toc419116095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4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E35C70" w:rsidP="00E35C70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Okresní soud v Přerově</w:t>
            </w:r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5" w:name="_Toc419116096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E35C70" w:rsidP="00E35C70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Okresní soud v Šumperku</w:t>
            </w:r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6" w:name="_Toc419116097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6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E35C70" w:rsidP="00E35C70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Okresní soud ve Vsetíně</w:t>
            </w:r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7" w:name="_Toc419116098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7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E35C70" w:rsidP="00E35C70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Okresní soud ve Zlíně</w:t>
            </w:r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8" w:name="_Toc419116099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8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E35C70" w:rsidP="00E35C70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 xml:space="preserve">Vězeňská služba ČR </w:t>
            </w:r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9" w:name="_Toc419116100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9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E35C70" w:rsidP="00E35C70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Vrchní soud v Olomouci</w:t>
            </w:r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0" w:name="_Toc419116101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0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E35C70" w:rsidP="00E35C70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Vrchní státní zastupitelství v Olomouci</w:t>
            </w:r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1" w:name="_Toc419116102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31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E35C70" w:rsidP="00E35C70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Česká geologická služba</w:t>
            </w:r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2" w:name="_Toc419116103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32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7F1F93" w:rsidP="00E35C70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675EE">
              <w:rPr>
                <w:rFonts w:ascii="Times New Roman" w:hAnsi="Times New Roman" w:cs="Times New Roman"/>
                <w:color w:val="000000"/>
              </w:rPr>
              <w:t>Česká republika - Agentura ochrany přírody a krajiny Č</w:t>
            </w:r>
            <w:r>
              <w:rPr>
                <w:rFonts w:ascii="Times New Roman" w:hAnsi="Times New Roman" w:cs="Times New Roman"/>
                <w:color w:val="000000"/>
              </w:rPr>
              <w:t>eské republiky</w:t>
            </w:r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3" w:name="_Toc419116104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33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E35C70" w:rsidP="00E35C70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Česká republika - Česká inspekce životního prostředí</w:t>
            </w:r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4" w:name="_Toc419116105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34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E35C70" w:rsidP="00E35C70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5" w:name="_Toc419116106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3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E35C70" w:rsidP="00E35C70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Správa jeskyní České republiky</w:t>
            </w:r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6" w:name="_Toc419116107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36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E35C70" w:rsidP="00E35C70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Státní fond životního prostředí České republiky</w:t>
            </w:r>
          </w:p>
        </w:tc>
      </w:tr>
    </w:tbl>
    <w:p w:rsidR="00E35C70" w:rsidRDefault="00E35C70" w:rsidP="006778E7">
      <w:pPr>
        <w:rPr>
          <w:rFonts w:ascii="Times New Roman" w:hAnsi="Times New Roman" w:cs="Times New Roman"/>
          <w:b/>
        </w:rPr>
      </w:pPr>
    </w:p>
    <w:sectPr w:rsidR="00E35C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7DB" w:rsidRDefault="00DB37DB" w:rsidP="003E6E7B">
      <w:pPr>
        <w:spacing w:after="0" w:line="240" w:lineRule="auto"/>
      </w:pPr>
      <w:r>
        <w:separator/>
      </w:r>
    </w:p>
  </w:endnote>
  <w:endnote w:type="continuationSeparator" w:id="0">
    <w:p w:rsidR="00DB37DB" w:rsidRDefault="00DB37DB" w:rsidP="003E6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14092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D1080" w:rsidRPr="00FD1080" w:rsidRDefault="00FD1080">
        <w:pPr>
          <w:pStyle w:val="Zpat"/>
          <w:jc w:val="right"/>
          <w:rPr>
            <w:rFonts w:ascii="Times New Roman" w:hAnsi="Times New Roman" w:cs="Times New Roman"/>
          </w:rPr>
        </w:pPr>
        <w:r w:rsidRPr="00FD1080">
          <w:rPr>
            <w:rFonts w:ascii="Times New Roman" w:hAnsi="Times New Roman" w:cs="Times New Roman"/>
          </w:rPr>
          <w:fldChar w:fldCharType="begin"/>
        </w:r>
        <w:r w:rsidRPr="00FD1080">
          <w:rPr>
            <w:rFonts w:ascii="Times New Roman" w:hAnsi="Times New Roman" w:cs="Times New Roman"/>
          </w:rPr>
          <w:instrText>PAGE   \* MERGEFORMAT</w:instrText>
        </w:r>
        <w:r w:rsidRPr="00FD1080">
          <w:rPr>
            <w:rFonts w:ascii="Times New Roman" w:hAnsi="Times New Roman" w:cs="Times New Roman"/>
          </w:rPr>
          <w:fldChar w:fldCharType="separate"/>
        </w:r>
        <w:r w:rsidR="00761A8A">
          <w:rPr>
            <w:rFonts w:ascii="Times New Roman" w:hAnsi="Times New Roman" w:cs="Times New Roman"/>
            <w:noProof/>
          </w:rPr>
          <w:t>1</w:t>
        </w:r>
        <w:r w:rsidRPr="00FD1080">
          <w:rPr>
            <w:rFonts w:ascii="Times New Roman" w:hAnsi="Times New Roman" w:cs="Times New Roman"/>
          </w:rPr>
          <w:fldChar w:fldCharType="end"/>
        </w:r>
      </w:p>
    </w:sdtContent>
  </w:sdt>
  <w:p w:rsidR="00FD1080" w:rsidRDefault="00FD108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7DB" w:rsidRDefault="00DB37DB" w:rsidP="003E6E7B">
      <w:pPr>
        <w:spacing w:after="0" w:line="240" w:lineRule="auto"/>
      </w:pPr>
      <w:r>
        <w:separator/>
      </w:r>
    </w:p>
  </w:footnote>
  <w:footnote w:type="continuationSeparator" w:id="0">
    <w:p w:rsidR="00DB37DB" w:rsidRDefault="00DB37DB" w:rsidP="003E6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7B" w:rsidRPr="001C46A2" w:rsidRDefault="006B549E">
    <w:pPr>
      <w:pStyle w:val="Zhlav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1 k </w:t>
    </w:r>
    <w:r w:rsidR="001C46A2">
      <w:rPr>
        <w:rFonts w:ascii="Times New Roman" w:hAnsi="Times New Roman" w:cs="Times New Roman"/>
        <w:i/>
        <w:sz w:val="20"/>
        <w:szCs w:val="20"/>
      </w:rPr>
      <w:t xml:space="preserve">VZ </w:t>
    </w:r>
    <w:r w:rsidR="001C46A2" w:rsidRPr="001C46A2">
      <w:rPr>
        <w:rFonts w:ascii="Times New Roman" w:hAnsi="Times New Roman" w:cs="Times New Roman"/>
        <w:i/>
        <w:sz w:val="20"/>
        <w:szCs w:val="20"/>
      </w:rPr>
      <w:t>Dodávky kancelářského papíru pro 6 resortů</w:t>
    </w:r>
    <w:r>
      <w:rPr>
        <w:rFonts w:ascii="Times New Roman" w:hAnsi="Times New Roman" w:cs="Times New Roman"/>
        <w:i/>
        <w:sz w:val="20"/>
        <w:szCs w:val="20"/>
      </w:rPr>
      <w:tab/>
    </w:r>
    <w:r w:rsidR="00EF3F77">
      <w:rPr>
        <w:rFonts w:ascii="Times New Roman" w:hAnsi="Times New Roman"/>
        <w:i/>
        <w:sz w:val="20"/>
        <w:szCs w:val="20"/>
      </w:rPr>
      <w:t>č. j.: MF-18419/2015/9001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1C46A2"/>
    <w:rsid w:val="001C6438"/>
    <w:rsid w:val="001D4DCC"/>
    <w:rsid w:val="001F2C91"/>
    <w:rsid w:val="003E6E7B"/>
    <w:rsid w:val="00451ADF"/>
    <w:rsid w:val="005B245C"/>
    <w:rsid w:val="006778E7"/>
    <w:rsid w:val="006A7E6F"/>
    <w:rsid w:val="006B549E"/>
    <w:rsid w:val="006C10FD"/>
    <w:rsid w:val="006E103D"/>
    <w:rsid w:val="007162EE"/>
    <w:rsid w:val="00761A8A"/>
    <w:rsid w:val="00776A6F"/>
    <w:rsid w:val="007D3416"/>
    <w:rsid w:val="007F1F93"/>
    <w:rsid w:val="008409F5"/>
    <w:rsid w:val="008533CE"/>
    <w:rsid w:val="00867882"/>
    <w:rsid w:val="008B560A"/>
    <w:rsid w:val="00A168A2"/>
    <w:rsid w:val="00A35B84"/>
    <w:rsid w:val="00B00088"/>
    <w:rsid w:val="00B00D7F"/>
    <w:rsid w:val="00B91C87"/>
    <w:rsid w:val="00C826B4"/>
    <w:rsid w:val="00D00D1C"/>
    <w:rsid w:val="00D73524"/>
    <w:rsid w:val="00DB37DB"/>
    <w:rsid w:val="00DE04AE"/>
    <w:rsid w:val="00E35C70"/>
    <w:rsid w:val="00E849C3"/>
    <w:rsid w:val="00E85A01"/>
    <w:rsid w:val="00EF3F77"/>
    <w:rsid w:val="00F36768"/>
    <w:rsid w:val="00F50EBA"/>
    <w:rsid w:val="00F60B05"/>
    <w:rsid w:val="00FA7B04"/>
    <w:rsid w:val="00FD1080"/>
    <w:rsid w:val="00FD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35C70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35C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35C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E35C70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35C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35C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kaznakoment">
    <w:name w:val="annotation reference"/>
    <w:basedOn w:val="Standardnpsmoodstavce"/>
    <w:uiPriority w:val="99"/>
    <w:semiHidden/>
    <w:unhideWhenUsed/>
    <w:rsid w:val="00E35C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35C7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35C7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5C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5C70"/>
    <w:rPr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E35C70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E35C70"/>
    <w:rPr>
      <w:color w:val="0000FF" w:themeColor="hyperlink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E35C7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E35C70"/>
    <w:pPr>
      <w:spacing w:after="100"/>
      <w:ind w:left="440"/>
    </w:pPr>
    <w:rPr>
      <w:rFonts w:eastAsiaTheme="minorEastAsia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E35C70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35C70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35C70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35C70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35C70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35C70"/>
    <w:pPr>
      <w:spacing w:after="100"/>
      <w:ind w:left="1760"/>
    </w:pPr>
    <w:rPr>
      <w:rFonts w:eastAsiaTheme="minorEastAsia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35C70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35C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35C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E35C70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35C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35C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kaznakoment">
    <w:name w:val="annotation reference"/>
    <w:basedOn w:val="Standardnpsmoodstavce"/>
    <w:uiPriority w:val="99"/>
    <w:semiHidden/>
    <w:unhideWhenUsed/>
    <w:rsid w:val="00E35C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35C7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35C7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5C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5C70"/>
    <w:rPr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E35C70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E35C70"/>
    <w:rPr>
      <w:color w:val="0000FF" w:themeColor="hyperlink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E35C7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E35C70"/>
    <w:pPr>
      <w:spacing w:after="100"/>
      <w:ind w:left="440"/>
    </w:pPr>
    <w:rPr>
      <w:rFonts w:eastAsiaTheme="minorEastAsia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E35C70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35C70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35C70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35C70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35C70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35C70"/>
    <w:pPr>
      <w:spacing w:after="100"/>
      <w:ind w:left="1760"/>
    </w:pPr>
    <w:rPr>
      <w:rFonts w:eastAsiaTheme="minorEastAsi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289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Borská Helena Ing.</cp:lastModifiedBy>
  <cp:revision>9</cp:revision>
  <dcterms:created xsi:type="dcterms:W3CDTF">2015-05-28T09:30:00Z</dcterms:created>
  <dcterms:modified xsi:type="dcterms:W3CDTF">2015-10-07T14:27:00Z</dcterms:modified>
</cp:coreProperties>
</file>